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TAIARA OTELINA DE MORAIS SANTOS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Belo Horizonte - MG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Telefone: (31) 98334-8631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taiaramorais8@gmail.com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OBJETIVO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Atuar como Professora da Educação Infantil ou Professora dos Anos Iniciais do Ensino Fundamental contribuindo para o desenvolvimento integral dos estudantes, com práticas pedagógicas inclusivas e gestão eficiente, alinhadas à BNCC e às diretrizes educacionais vigentes.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FORMAÇÃO ACADÊMICA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Licenciatura em Pedagogia com especialização em Necessidades Especiais Educacionais – 2025 - Pontifícia Universidade Católica de Minas Gerais (PUC Minas).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Pós-Graduação em Gestão Escolar (cursando) – Universidade do Estado de Minas Gerais (UEMG).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EXPERIÊNCIA PROFISSIONAL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Supervisora Pedagógica / EEB – Supervisão Escolar - 2025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Secretaria de Estado de Educação de Minas Gerais (SEE/MG)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 Acompanhamento e orientação do trabalho docente;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Organização de cronogramas e avaliações;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Mediação entre escola, professores e famílias;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Monitoramento da execução do planejamento pedagógico.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t xml:space="preserve">Professora – Ensino de Uso da Biblioteca - 2025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Secretaria de Estado de Educação de Minas Gerais (SEE/MG)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Desenvolvimento de projetos de leitura;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Orientação sobre pesquisa e uso do acervo;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Planejamento de atividades interdisciplinares.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  <w:t xml:space="preserve">Auxiliar de Sala – Educação Infantil (Estágio – 1 ano 2024)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Apoio à professora regente na rotina e nas atividades pedagógicas.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Desenvolvimento de atividades lúdicas e acompanhamento individualizado.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COMPETÊNCIAS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Planejamento e organização pedagógica;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Práticas inclusivas e atendimento a estudantes com NEE;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Avaliação diagnóstica e formativa;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Elaboração de relatórios pedagógicos;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Gestão de equipe e acompanhamento do rendimento escolar;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Mediação de conflitos e comunicação com famílias.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iaramorais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